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BBE6" w14:textId="0322D9CF" w:rsidR="00F619AC" w:rsidRDefault="0034178C">
      <w:pPr>
        <w:rPr>
          <w:rFonts w:ascii="Arial" w:hAnsi="Arial"/>
          <w:sz w:val="20"/>
          <w:szCs w:val="20"/>
        </w:rPr>
      </w:pPr>
      <w:r>
        <w:rPr>
          <w:rFonts w:ascii="Arial" w:hAnsi="Arial"/>
          <w:sz w:val="20"/>
          <w:szCs w:val="20"/>
        </w:rPr>
        <w:t>Ausschreibungstext</w:t>
      </w:r>
      <w:r w:rsidR="00AC57C2">
        <w:rPr>
          <w:rFonts w:ascii="Arial" w:hAnsi="Arial"/>
          <w:sz w:val="20"/>
          <w:szCs w:val="20"/>
        </w:rPr>
        <w:t>:</w:t>
      </w: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t>ATTRAVIA</w:t>
      </w:r>
    </w:p>
    <w:p w14:paraId="5FF63215" w14:textId="77777777" w:rsidR="00F619AC" w:rsidRDefault="00F619AC">
      <w:pPr>
        <w:rPr>
          <w:rFonts w:ascii="Arial" w:hAnsi="Arial"/>
          <w:sz w:val="20"/>
          <w:szCs w:val="20"/>
        </w:rPr>
      </w:pPr>
    </w:p>
    <w:p w14:paraId="02EC2D12" w14:textId="77777777" w:rsidR="00F619AC" w:rsidRDefault="0034178C">
      <w:pPr>
        <w:rPr>
          <w:rFonts w:ascii="Arial" w:hAnsi="Arial"/>
          <w:sz w:val="20"/>
          <w:szCs w:val="20"/>
        </w:rPr>
      </w:pPr>
      <w:r>
        <w:rPr>
          <w:rFonts w:ascii="Arial" w:hAnsi="Arial"/>
          <w:sz w:val="20"/>
          <w:szCs w:val="20"/>
        </w:rPr>
        <w:t>1</w:t>
      </w:r>
    </w:p>
    <w:p w14:paraId="3989AC0F" w14:textId="7A7B8281" w:rsidR="00F619AC" w:rsidRPr="00AC57C2" w:rsidRDefault="0034178C">
      <w:pPr>
        <w:rPr>
          <w:rFonts w:ascii="Arial" w:hAnsi="Arial"/>
          <w:b/>
          <w:bCs/>
          <w:sz w:val="20"/>
          <w:szCs w:val="20"/>
        </w:rPr>
      </w:pPr>
      <w:r w:rsidRPr="00AC57C2">
        <w:rPr>
          <w:rFonts w:ascii="Arial" w:hAnsi="Arial"/>
          <w:b/>
          <w:bCs/>
          <w:sz w:val="20"/>
          <w:szCs w:val="20"/>
        </w:rPr>
        <w:t xml:space="preserve">Grundelement </w:t>
      </w:r>
    </w:p>
    <w:p w14:paraId="719A8ED8" w14:textId="6F4A86AC" w:rsidR="00F619AC" w:rsidRDefault="0034178C">
      <w:pPr>
        <w:rPr>
          <w:rFonts w:ascii="Arial" w:hAnsi="Arial"/>
          <w:sz w:val="20"/>
          <w:szCs w:val="20"/>
        </w:rPr>
      </w:pPr>
      <w:r>
        <w:rPr>
          <w:rFonts w:ascii="Arial" w:hAnsi="Arial"/>
          <w:sz w:val="20"/>
          <w:szCs w:val="20"/>
        </w:rPr>
        <w:t xml:space="preserve">Anzahl </w:t>
      </w:r>
      <w:r w:rsidRPr="00AC57C2">
        <w:rPr>
          <w:rFonts w:ascii="Arial" w:hAnsi="Arial"/>
          <w:b/>
          <w:bCs/>
          <w:sz w:val="20"/>
          <w:szCs w:val="20"/>
        </w:rPr>
        <w:t xml:space="preserve">Anbauelemente </w:t>
      </w:r>
      <w:r>
        <w:rPr>
          <w:rFonts w:ascii="Arial" w:hAnsi="Arial"/>
          <w:sz w:val="20"/>
          <w:szCs w:val="20"/>
        </w:rPr>
        <w:t>(Feldraster 4500 mm)</w:t>
      </w:r>
    </w:p>
    <w:p w14:paraId="62361E4F" w14:textId="77777777" w:rsidR="003662BF" w:rsidRDefault="003662BF">
      <w:pPr>
        <w:rPr>
          <w:rFonts w:ascii="Arial" w:hAnsi="Arial"/>
          <w:sz w:val="20"/>
          <w:szCs w:val="20"/>
        </w:rPr>
      </w:pPr>
    </w:p>
    <w:p w14:paraId="0C4F1587" w14:textId="77777777" w:rsidR="00AC57C2" w:rsidRDefault="0034178C">
      <w:pPr>
        <w:rPr>
          <w:rFonts w:ascii="Arial" w:hAnsi="Arial"/>
          <w:sz w:val="20"/>
          <w:szCs w:val="20"/>
        </w:rPr>
      </w:pPr>
      <w:r>
        <w:rPr>
          <w:rFonts w:ascii="Arial" w:hAnsi="Arial"/>
          <w:sz w:val="20"/>
          <w:szCs w:val="20"/>
        </w:rPr>
        <w:t xml:space="preserve">Dachtiefe von ❏ 2 x 1500 </w:t>
      </w:r>
      <w:proofErr w:type="gramStart"/>
      <w:r>
        <w:rPr>
          <w:rFonts w:ascii="Arial" w:hAnsi="Arial"/>
          <w:sz w:val="20"/>
          <w:szCs w:val="20"/>
        </w:rPr>
        <w:t>mm,  ❏</w:t>
      </w:r>
      <w:proofErr w:type="gramEnd"/>
      <w:r>
        <w:rPr>
          <w:rFonts w:ascii="Arial" w:hAnsi="Arial"/>
          <w:sz w:val="20"/>
          <w:szCs w:val="20"/>
        </w:rPr>
        <w:t xml:space="preserve"> 2 x 1750 mm,  ❏ 2 x 2000 mm </w:t>
      </w:r>
    </w:p>
    <w:p w14:paraId="13F4D11C" w14:textId="77777777" w:rsidR="00AC57C2" w:rsidRDefault="00AC57C2">
      <w:pPr>
        <w:rPr>
          <w:rFonts w:ascii="Arial" w:hAnsi="Arial"/>
          <w:sz w:val="20"/>
          <w:szCs w:val="20"/>
        </w:rPr>
      </w:pPr>
    </w:p>
    <w:p w14:paraId="03D9F8A0" w14:textId="77777777" w:rsidR="00AC57C2" w:rsidRDefault="0034178C">
      <w:pPr>
        <w:rPr>
          <w:rFonts w:ascii="Arial" w:hAnsi="Arial"/>
          <w:sz w:val="20"/>
          <w:szCs w:val="20"/>
        </w:rPr>
      </w:pPr>
      <w:r>
        <w:rPr>
          <w:rFonts w:ascii="Arial" w:hAnsi="Arial"/>
          <w:sz w:val="20"/>
          <w:szCs w:val="20"/>
        </w:rPr>
        <w:t>Dachlänge resultierend aus</w:t>
      </w:r>
      <w:r w:rsidR="00AC57C2">
        <w:rPr>
          <w:rFonts w:ascii="Arial" w:hAnsi="Arial"/>
          <w:sz w:val="20"/>
          <w:szCs w:val="20"/>
        </w:rPr>
        <w:t xml:space="preserve"> </w:t>
      </w:r>
      <w:r>
        <w:rPr>
          <w:rFonts w:ascii="Arial" w:hAnsi="Arial"/>
          <w:sz w:val="20"/>
          <w:szCs w:val="20"/>
        </w:rPr>
        <w:t xml:space="preserve">1 Grundelement und beliebiger Anzahl Anbauelemente. </w:t>
      </w:r>
    </w:p>
    <w:p w14:paraId="746C4BBF" w14:textId="188D67F6" w:rsidR="00F619AC" w:rsidRDefault="0034178C">
      <w:pPr>
        <w:rPr>
          <w:rFonts w:ascii="Arial" w:hAnsi="Arial"/>
          <w:sz w:val="20"/>
          <w:szCs w:val="20"/>
        </w:rPr>
      </w:pPr>
      <w:r>
        <w:rPr>
          <w:rFonts w:ascii="Arial" w:hAnsi="Arial"/>
          <w:sz w:val="20"/>
          <w:szCs w:val="20"/>
        </w:rPr>
        <w:t xml:space="preserve">Durchgangshöhe 2200 mm, mit transparentem </w:t>
      </w:r>
      <w:proofErr w:type="spellStart"/>
      <w:r>
        <w:rPr>
          <w:rFonts w:ascii="Arial" w:hAnsi="Arial"/>
          <w:sz w:val="20"/>
          <w:szCs w:val="20"/>
        </w:rPr>
        <w:t>Trogdach</w:t>
      </w:r>
      <w:proofErr w:type="spellEnd"/>
      <w:r>
        <w:rPr>
          <w:rFonts w:ascii="Arial" w:hAnsi="Arial"/>
          <w:sz w:val="20"/>
          <w:szCs w:val="20"/>
        </w:rPr>
        <w:t xml:space="preserve"> aus farblosem Verbundsicherheitsglas (VSG), in einem Dachraster von 750 mm.</w:t>
      </w:r>
    </w:p>
    <w:p w14:paraId="79A2E0E9" w14:textId="77777777" w:rsidR="00F619AC" w:rsidRDefault="00F619AC">
      <w:pPr>
        <w:rPr>
          <w:rFonts w:ascii="Arial" w:hAnsi="Arial"/>
          <w:sz w:val="20"/>
          <w:szCs w:val="20"/>
        </w:rPr>
      </w:pPr>
    </w:p>
    <w:p w14:paraId="789B34AA" w14:textId="77777777" w:rsidR="00F619AC" w:rsidRDefault="0034178C">
      <w:pPr>
        <w:rPr>
          <w:rFonts w:ascii="Arial" w:hAnsi="Arial"/>
          <w:sz w:val="20"/>
          <w:szCs w:val="20"/>
        </w:rPr>
      </w:pPr>
      <w:r>
        <w:rPr>
          <w:rFonts w:ascii="Arial" w:hAnsi="Arial"/>
          <w:sz w:val="20"/>
          <w:szCs w:val="20"/>
        </w:rPr>
        <w:t>Der Aufbau der Überdachungskonstruktion erfolgt modular im Baukastensystem durch Konfektionierung von einem Grundelement mit der aus der geforderten Länge (L) der Anlage resultierenden Anzahl an Anbauelementen. Die Länge des Grundelementes beträgt ca. 5350 mm resultierend aus einem Stützabstand von 4500 mm und einer beidseitigen Auskragung von ca. 425 mm und ist im Stützenabstand des Anbauelementes von 4500 mm beliebig erweiterbar.</w:t>
      </w:r>
    </w:p>
    <w:p w14:paraId="75405EDB" w14:textId="77777777" w:rsidR="00F619AC" w:rsidRDefault="00F619AC">
      <w:pPr>
        <w:rPr>
          <w:rFonts w:ascii="Arial" w:hAnsi="Arial"/>
          <w:sz w:val="20"/>
          <w:szCs w:val="20"/>
        </w:rPr>
      </w:pPr>
    </w:p>
    <w:p w14:paraId="4183F690" w14:textId="77777777" w:rsidR="00F619AC" w:rsidRDefault="0034178C">
      <w:pPr>
        <w:rPr>
          <w:rFonts w:ascii="Arial" w:hAnsi="Arial"/>
          <w:sz w:val="20"/>
          <w:szCs w:val="20"/>
        </w:rPr>
      </w:pPr>
      <w:r>
        <w:rPr>
          <w:rFonts w:ascii="Arial" w:hAnsi="Arial"/>
          <w:sz w:val="20"/>
          <w:szCs w:val="20"/>
        </w:rPr>
        <w:t>Die Befestigung der Stützen erfolgt durch:</w:t>
      </w:r>
    </w:p>
    <w:p w14:paraId="7E96C7A7" w14:textId="78593BE1" w:rsidR="00F619AC" w:rsidRDefault="0034178C">
      <w:pPr>
        <w:rPr>
          <w:rFonts w:ascii="Arial" w:hAnsi="Arial"/>
          <w:sz w:val="20"/>
          <w:szCs w:val="20"/>
        </w:rPr>
      </w:pPr>
      <w:r>
        <w:rPr>
          <w:rFonts w:ascii="Arial" w:hAnsi="Arial"/>
          <w:sz w:val="20"/>
          <w:szCs w:val="20"/>
        </w:rPr>
        <w:t>❏ Einspannen in bauseits herzustellende und nach Montage der St</w:t>
      </w:r>
      <w:r w:rsidR="008A3E54">
        <w:rPr>
          <w:rFonts w:ascii="Arial" w:hAnsi="Arial"/>
          <w:sz w:val="20"/>
          <w:szCs w:val="20"/>
        </w:rPr>
        <w:t xml:space="preserve">ahlkonstruktion bauseits zu </w:t>
      </w:r>
      <w:r>
        <w:rPr>
          <w:rFonts w:ascii="Arial" w:hAnsi="Arial"/>
          <w:sz w:val="20"/>
          <w:szCs w:val="20"/>
        </w:rPr>
        <w:t>vergießende Köcherfundamente</w:t>
      </w:r>
    </w:p>
    <w:p w14:paraId="79764D99" w14:textId="77777777" w:rsidR="00F619AC" w:rsidRDefault="0034178C">
      <w:pPr>
        <w:rPr>
          <w:rFonts w:ascii="Arial" w:hAnsi="Arial"/>
          <w:sz w:val="20"/>
          <w:szCs w:val="20"/>
        </w:rPr>
      </w:pPr>
      <w:r>
        <w:rPr>
          <w:rFonts w:ascii="Arial" w:hAnsi="Arial"/>
          <w:sz w:val="20"/>
          <w:szCs w:val="20"/>
        </w:rPr>
        <w:t>❏ Aufschrauben mittels biegesteifer Fußplatten auf geeignetem Untergrund. Die geregelte Entwässerung wird über die Sammelrinne durch den Mittelträger oberirdisch mittels Stahlfallrohr abgeleitet.</w:t>
      </w:r>
    </w:p>
    <w:p w14:paraId="4A8BD134" w14:textId="77777777" w:rsidR="00F619AC" w:rsidRDefault="00F619AC">
      <w:pPr>
        <w:rPr>
          <w:rFonts w:ascii="Arial" w:hAnsi="Arial"/>
          <w:sz w:val="20"/>
          <w:szCs w:val="20"/>
        </w:rPr>
      </w:pPr>
    </w:p>
    <w:p w14:paraId="70E5A402" w14:textId="77777777" w:rsidR="00F619AC" w:rsidRDefault="0034178C">
      <w:pPr>
        <w:rPr>
          <w:rFonts w:ascii="Arial" w:hAnsi="Arial"/>
          <w:sz w:val="20"/>
          <w:szCs w:val="20"/>
        </w:rPr>
      </w:pPr>
      <w:r>
        <w:rPr>
          <w:rFonts w:ascii="Arial" w:hAnsi="Arial"/>
          <w:sz w:val="20"/>
          <w:szCs w:val="20"/>
        </w:rPr>
        <w:t xml:space="preserve">Die Sammelrinnen sind stirnseits mit angeschweißten Abschlussdeckeln wasserdicht zu verschließen. Beidseitig auskragendes </w:t>
      </w:r>
      <w:proofErr w:type="spellStart"/>
      <w:r>
        <w:rPr>
          <w:rFonts w:ascii="Arial" w:hAnsi="Arial"/>
          <w:sz w:val="20"/>
          <w:szCs w:val="20"/>
        </w:rPr>
        <w:t>Trogdach</w:t>
      </w:r>
      <w:proofErr w:type="spellEnd"/>
      <w:r>
        <w:rPr>
          <w:rFonts w:ascii="Arial" w:hAnsi="Arial"/>
          <w:sz w:val="20"/>
          <w:szCs w:val="20"/>
        </w:rPr>
        <w:t xml:space="preserve"> mit einer Dacheindeckung aus Verbundsicherheitsglas. Die Ausführung der Überkopfverglasung erfolgt nach den technischen Regeln für die Verwendung von linienförmig gelagerten Verglasungen (TRLV) aus VSG (Verbundsicherheitsglas). Dieses besteht im Wesentlichen aus zwei im Druckfügeverfahren miteinander verbundenen </w:t>
      </w:r>
      <w:proofErr w:type="spellStart"/>
      <w:r>
        <w:rPr>
          <w:rFonts w:ascii="Arial" w:hAnsi="Arial"/>
          <w:sz w:val="20"/>
          <w:szCs w:val="20"/>
        </w:rPr>
        <w:t>Floatglasscheiben</w:t>
      </w:r>
      <w:proofErr w:type="spellEnd"/>
      <w:r>
        <w:rPr>
          <w:rFonts w:ascii="Arial" w:hAnsi="Arial"/>
          <w:sz w:val="20"/>
          <w:szCs w:val="20"/>
        </w:rPr>
        <w:t>, Materialdicke 5 mm je Scheibe, zwischen die eine PVB-Folie (Polyvinyl-</w:t>
      </w:r>
      <w:proofErr w:type="spellStart"/>
      <w:r>
        <w:rPr>
          <w:rFonts w:ascii="Arial" w:hAnsi="Arial"/>
          <w:sz w:val="20"/>
          <w:szCs w:val="20"/>
        </w:rPr>
        <w:t>Butyral</w:t>
      </w:r>
      <w:proofErr w:type="spellEnd"/>
      <w:r>
        <w:rPr>
          <w:rFonts w:ascii="Arial" w:hAnsi="Arial"/>
          <w:sz w:val="20"/>
          <w:szCs w:val="20"/>
        </w:rPr>
        <w:t>) einzulegen ist. Die Dicke der PVB-Folie bemisst sich nach den Richtlinien zur Überkopfverglasung und beträgt mindestens 0,76 mm. Die Dachneigung beträgt beidseitig 5° zur Mittelachse hin geneigt.</w:t>
      </w:r>
    </w:p>
    <w:p w14:paraId="34D1E50D" w14:textId="77777777" w:rsidR="00F619AC" w:rsidRDefault="00F619AC">
      <w:pPr>
        <w:rPr>
          <w:rFonts w:ascii="Arial" w:hAnsi="Arial"/>
          <w:sz w:val="20"/>
          <w:szCs w:val="20"/>
        </w:rPr>
      </w:pPr>
    </w:p>
    <w:p w14:paraId="734CF52B" w14:textId="77777777" w:rsidR="00F619AC" w:rsidRDefault="0034178C">
      <w:pPr>
        <w:rPr>
          <w:rFonts w:ascii="Arial" w:hAnsi="Arial"/>
          <w:sz w:val="20"/>
          <w:szCs w:val="20"/>
        </w:rPr>
      </w:pPr>
      <w:r>
        <w:rPr>
          <w:rFonts w:ascii="Arial" w:hAnsi="Arial"/>
          <w:sz w:val="20"/>
          <w:szCs w:val="20"/>
        </w:rPr>
        <w:t>Das VSG wird linear auf Kragträger, die im Systemraster von 750 mm verlaufen, gelagert. Die kraftschlüssige Anbindung erfolgt über Schrauben sowie Deckleisten mit Dichtung. Der Kragträger besteht aus einem Schweißprofil. Er wird zusammengesetzt aus einem Hohlprofil nach DIN EN 10219 und einem dem Kraftverlauf angepassten, bogenförmigen, gelochtem Stahlblech, welches statisch die Funktion einer Voute übernimmt.</w:t>
      </w:r>
    </w:p>
    <w:p w14:paraId="6A665D77" w14:textId="77777777" w:rsidR="00F619AC" w:rsidRDefault="00F619AC">
      <w:pPr>
        <w:rPr>
          <w:rFonts w:ascii="Arial" w:hAnsi="Arial"/>
          <w:sz w:val="20"/>
          <w:szCs w:val="20"/>
        </w:rPr>
      </w:pPr>
    </w:p>
    <w:p w14:paraId="741C9F54" w14:textId="28BCBAAD" w:rsidR="00F619AC" w:rsidRDefault="0034178C">
      <w:pPr>
        <w:rPr>
          <w:rFonts w:ascii="Arial" w:hAnsi="Arial"/>
          <w:sz w:val="20"/>
          <w:szCs w:val="20"/>
        </w:rPr>
      </w:pPr>
      <w:r>
        <w:rPr>
          <w:rFonts w:ascii="Arial" w:hAnsi="Arial"/>
          <w:sz w:val="20"/>
          <w:szCs w:val="20"/>
        </w:rPr>
        <w:t>Der Kragträger wird mittels HV-Schrauben, den zugehörigen Muttern und Unterlegscheiben nach DIN EN 14399-4 und DIN EN 14399-6 an den in Anlagenlängsachse verlauf</w:t>
      </w:r>
      <w:r w:rsidR="00CA2E4E">
        <w:rPr>
          <w:rFonts w:ascii="Arial" w:hAnsi="Arial"/>
          <w:sz w:val="20"/>
          <w:szCs w:val="20"/>
        </w:rPr>
        <w:t>enden Unterzug über angeschweiß</w:t>
      </w:r>
      <w:r>
        <w:rPr>
          <w:rFonts w:ascii="Arial" w:hAnsi="Arial"/>
          <w:sz w:val="20"/>
          <w:szCs w:val="20"/>
        </w:rPr>
        <w:t>te Stirnplatten biegesteif angeschlossen. Als Unterzug wird ein Hohlprofil nach DIN EN 10219 verwendet. Die erforderlichen Vorspannkräfte der hochfesten Verbindung müssen mittels Drehmomentschlüssel normgerecht angeschlossen werden. Der Anschluss des tragenden Unterzuges zwischen den Stützen erfolgt über einen biegesteifen Stirnplattenstoß. Als Stütze dient ein HEA-Profil nach DIN 10034 nach DIN EN 10219 mit zusätzli</w:t>
      </w:r>
      <w:r w:rsidR="00CA2E4E">
        <w:rPr>
          <w:rFonts w:ascii="Arial" w:hAnsi="Arial"/>
          <w:sz w:val="20"/>
          <w:szCs w:val="20"/>
        </w:rPr>
        <w:t>cher Stegaussteifung im Anschluss</w:t>
      </w:r>
      <w:r>
        <w:rPr>
          <w:rFonts w:ascii="Arial" w:hAnsi="Arial"/>
          <w:sz w:val="20"/>
          <w:szCs w:val="20"/>
        </w:rPr>
        <w:t>bereich.</w:t>
      </w:r>
    </w:p>
    <w:p w14:paraId="09195873" w14:textId="77777777" w:rsidR="00F619AC" w:rsidRDefault="00F619AC">
      <w:pPr>
        <w:rPr>
          <w:rFonts w:ascii="Arial" w:hAnsi="Arial"/>
          <w:sz w:val="20"/>
          <w:szCs w:val="20"/>
        </w:rPr>
      </w:pPr>
    </w:p>
    <w:p w14:paraId="633DF82B" w14:textId="77777777" w:rsidR="00AC57C2" w:rsidRDefault="0034178C">
      <w:pPr>
        <w:rPr>
          <w:rFonts w:ascii="Arial" w:hAnsi="Arial"/>
          <w:sz w:val="20"/>
          <w:szCs w:val="20"/>
        </w:rPr>
      </w:pPr>
      <w:r>
        <w:rPr>
          <w:rFonts w:ascii="Arial" w:hAnsi="Arial"/>
          <w:sz w:val="20"/>
          <w:szCs w:val="20"/>
        </w:rPr>
        <w:t>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xml:space="preserve">” zu beachten sind. </w:t>
      </w:r>
    </w:p>
    <w:p w14:paraId="039AA52E" w14:textId="77777777" w:rsidR="00AC57C2" w:rsidRDefault="00AC57C2">
      <w:pPr>
        <w:rPr>
          <w:rFonts w:ascii="Arial" w:hAnsi="Arial"/>
          <w:sz w:val="20"/>
          <w:szCs w:val="20"/>
        </w:rPr>
      </w:pPr>
    </w:p>
    <w:p w14:paraId="2C62DBDE" w14:textId="5B666E19" w:rsidR="00F619AC" w:rsidRDefault="0034178C">
      <w:pPr>
        <w:rPr>
          <w:rFonts w:ascii="Arial" w:hAnsi="Arial"/>
          <w:sz w:val="20"/>
          <w:szCs w:val="20"/>
        </w:rPr>
      </w:pPr>
      <w:r>
        <w:rPr>
          <w:rFonts w:ascii="Arial" w:hAnsi="Arial"/>
          <w:sz w:val="20"/>
          <w:szCs w:val="20"/>
        </w:rPr>
        <w:t>Im Zuge der Feuerverzinkung tragender Bauteile ist auf Anwendung der DAST-Richtlinie 022 zwingend zu achten.</w:t>
      </w:r>
    </w:p>
    <w:p w14:paraId="67998DF1" w14:textId="77777777" w:rsidR="00F619AC" w:rsidRDefault="00F619AC">
      <w:pPr>
        <w:rPr>
          <w:rFonts w:ascii="Arial" w:hAnsi="Arial"/>
          <w:sz w:val="20"/>
          <w:szCs w:val="20"/>
        </w:rPr>
      </w:pPr>
    </w:p>
    <w:p w14:paraId="08E73C88" w14:textId="77777777" w:rsidR="00F619AC" w:rsidRDefault="0034178C">
      <w:pPr>
        <w:rPr>
          <w:rFonts w:ascii="Arial" w:hAnsi="Arial"/>
          <w:sz w:val="20"/>
          <w:szCs w:val="20"/>
        </w:rPr>
      </w:pPr>
      <w:r>
        <w:rPr>
          <w:rFonts w:ascii="Arial" w:hAnsi="Arial"/>
          <w:sz w:val="20"/>
          <w:szCs w:val="20"/>
        </w:rPr>
        <w:t>Die konstruktive Bemessung aller tragenden Konstruktionselemente erfolgt nach den einschlägigen Fachnormen und den statischen Erfordernissen (DIN EN 1990, 1991, 1992, 1993, 1997) und ist für einen Standort innerhalb Schneezone 1 (</w:t>
      </w:r>
      <w:proofErr w:type="spellStart"/>
      <w:r>
        <w:rPr>
          <w:rFonts w:ascii="Arial" w:hAnsi="Arial"/>
          <w:sz w:val="20"/>
          <w:szCs w:val="20"/>
        </w:rPr>
        <w:t>Sk</w:t>
      </w:r>
      <w:proofErr w:type="spellEnd"/>
      <w:r>
        <w:rPr>
          <w:rFonts w:ascii="Arial" w:hAnsi="Arial"/>
          <w:sz w:val="20"/>
          <w:szCs w:val="20"/>
        </w:rPr>
        <w:t xml:space="preserve"> 0.65 kN/m2) und Windzone 1 ausgelegt.</w:t>
      </w:r>
    </w:p>
    <w:p w14:paraId="2A09E90D" w14:textId="5EBF7EFF" w:rsidR="00F619AC" w:rsidRDefault="00F619AC">
      <w:pPr>
        <w:rPr>
          <w:rFonts w:ascii="Arial" w:hAnsi="Arial"/>
          <w:sz w:val="20"/>
          <w:szCs w:val="20"/>
        </w:rPr>
      </w:pPr>
    </w:p>
    <w:p w14:paraId="7377D9B2" w14:textId="57E7726E" w:rsidR="00AC57C2" w:rsidRDefault="00AC57C2">
      <w:pPr>
        <w:rPr>
          <w:rFonts w:ascii="Arial" w:hAnsi="Arial"/>
          <w:sz w:val="20"/>
          <w:szCs w:val="20"/>
        </w:rPr>
      </w:pPr>
    </w:p>
    <w:p w14:paraId="651DCE09" w14:textId="43761493" w:rsidR="00AC57C2" w:rsidRDefault="00AC57C2">
      <w:pPr>
        <w:rPr>
          <w:rFonts w:ascii="Arial" w:hAnsi="Arial"/>
          <w:sz w:val="20"/>
          <w:szCs w:val="20"/>
        </w:rPr>
      </w:pPr>
    </w:p>
    <w:p w14:paraId="2400150F" w14:textId="77777777" w:rsidR="00AC57C2" w:rsidRDefault="00AC57C2">
      <w:pPr>
        <w:rPr>
          <w:rFonts w:ascii="Arial" w:hAnsi="Arial"/>
          <w:sz w:val="20"/>
          <w:szCs w:val="20"/>
        </w:rPr>
      </w:pPr>
    </w:p>
    <w:p w14:paraId="2949382C" w14:textId="77777777" w:rsidR="00AC57C2" w:rsidRDefault="0034178C">
      <w:pPr>
        <w:rPr>
          <w:rFonts w:ascii="Arial" w:hAnsi="Arial"/>
          <w:sz w:val="20"/>
          <w:szCs w:val="20"/>
        </w:rPr>
      </w:pPr>
      <w:r>
        <w:rPr>
          <w:rFonts w:ascii="Arial" w:hAnsi="Arial"/>
          <w:sz w:val="20"/>
          <w:szCs w:val="20"/>
        </w:rPr>
        <w:lastRenderedPageBreak/>
        <w:t xml:space="preserve">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w:t>
      </w:r>
    </w:p>
    <w:p w14:paraId="1278F09D" w14:textId="77777777" w:rsidR="00AC57C2" w:rsidRDefault="00AC57C2">
      <w:pPr>
        <w:rPr>
          <w:rFonts w:ascii="Arial" w:hAnsi="Arial"/>
          <w:sz w:val="20"/>
          <w:szCs w:val="20"/>
        </w:rPr>
      </w:pPr>
    </w:p>
    <w:p w14:paraId="593E61AD" w14:textId="44B383B0" w:rsidR="00F619AC" w:rsidRDefault="0034178C">
      <w:pPr>
        <w:rPr>
          <w:rFonts w:ascii="Arial" w:hAnsi="Arial"/>
          <w:sz w:val="20"/>
          <w:szCs w:val="20"/>
        </w:rPr>
      </w:pPr>
      <w:r>
        <w:rPr>
          <w:rFonts w:ascii="Arial" w:hAnsi="Arial"/>
          <w:sz w:val="20"/>
          <w:szCs w:val="20"/>
        </w:rPr>
        <w:t>Die gesamte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Dies setzt voraus, dass die gesamte Konstruktion aus industriell hergestellten Systembauteilen besteht.</w:t>
      </w:r>
    </w:p>
    <w:p w14:paraId="35CFC9CF" w14:textId="77777777" w:rsidR="00AC57C2" w:rsidRDefault="00AC57C2">
      <w:pPr>
        <w:rPr>
          <w:rFonts w:ascii="Arial" w:hAnsi="Arial"/>
          <w:sz w:val="20"/>
          <w:szCs w:val="20"/>
        </w:rPr>
      </w:pPr>
    </w:p>
    <w:p w14:paraId="49360E67" w14:textId="77777777" w:rsidR="00F619AC" w:rsidRDefault="0034178C">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39D3561E" w14:textId="77777777" w:rsidR="00F619AC" w:rsidRDefault="00F619AC">
      <w:pPr>
        <w:rPr>
          <w:rFonts w:ascii="Arial" w:hAnsi="Arial"/>
          <w:sz w:val="20"/>
          <w:szCs w:val="20"/>
        </w:rPr>
      </w:pPr>
    </w:p>
    <w:p w14:paraId="7B9B886C" w14:textId="77777777" w:rsidR="00F619AC" w:rsidRDefault="0034178C">
      <w:pPr>
        <w:rPr>
          <w:rFonts w:ascii="Arial" w:hAnsi="Arial"/>
          <w:sz w:val="20"/>
          <w:szCs w:val="20"/>
        </w:rPr>
      </w:pPr>
      <w:r>
        <w:rPr>
          <w:rFonts w:ascii="Arial" w:hAnsi="Arial"/>
          <w:sz w:val="20"/>
          <w:szCs w:val="20"/>
        </w:rPr>
        <w:t>2</w:t>
      </w:r>
    </w:p>
    <w:p w14:paraId="18CD9B09" w14:textId="46873A48" w:rsidR="00F619AC" w:rsidRDefault="0034178C">
      <w:pPr>
        <w:rPr>
          <w:rFonts w:ascii="Arial" w:hAnsi="Arial"/>
          <w:sz w:val="20"/>
          <w:szCs w:val="20"/>
        </w:rPr>
      </w:pPr>
      <w:r w:rsidRPr="00AC57C2">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sidR="009E3C59">
        <w:rPr>
          <w:rFonts w:ascii="Arial" w:hAnsi="Arial"/>
          <w:sz w:val="20"/>
          <w:szCs w:val="20"/>
        </w:rPr>
        <w:t>my</w:t>
      </w:r>
      <w:proofErr w:type="spellEnd"/>
      <w:r w:rsidR="009E3C59">
        <w:rPr>
          <w:rFonts w:ascii="Arial" w:hAnsi="Arial"/>
          <w:sz w:val="20"/>
          <w:szCs w:val="20"/>
        </w:rPr>
        <w:t>. Farbbeschichtungsaufbau:</w:t>
      </w:r>
    </w:p>
    <w:p w14:paraId="22C16F3B" w14:textId="1C5F1754" w:rsidR="00F619AC" w:rsidRDefault="009E3C59">
      <w:pPr>
        <w:rPr>
          <w:rFonts w:ascii="Arial" w:hAnsi="Arial"/>
          <w:sz w:val="20"/>
          <w:szCs w:val="20"/>
        </w:rPr>
      </w:pPr>
      <w:r>
        <w:rPr>
          <w:rFonts w:ascii="Arial" w:hAnsi="Arial"/>
          <w:sz w:val="20"/>
          <w:szCs w:val="20"/>
        </w:rPr>
        <w:t>• Entfetten</w:t>
      </w:r>
    </w:p>
    <w:p w14:paraId="71D4DE6E" w14:textId="60F3AC3E" w:rsidR="00F619AC" w:rsidRDefault="009E3C59">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p>
    <w:p w14:paraId="0E66246A" w14:textId="77777777" w:rsidR="00F619AC" w:rsidRDefault="0034178C">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7F8FB31F" w14:textId="77777777" w:rsidR="00F619AC" w:rsidRDefault="00F619AC">
      <w:pPr>
        <w:rPr>
          <w:rFonts w:ascii="Arial" w:hAnsi="Arial"/>
          <w:sz w:val="20"/>
          <w:szCs w:val="20"/>
        </w:rPr>
      </w:pPr>
    </w:p>
    <w:p w14:paraId="46D7AA71" w14:textId="49F26B56" w:rsidR="00F619AC" w:rsidRDefault="0034178C">
      <w:pPr>
        <w:rPr>
          <w:rFonts w:ascii="Arial" w:hAnsi="Arial"/>
          <w:sz w:val="20"/>
          <w:szCs w:val="20"/>
        </w:rPr>
      </w:pPr>
      <w:r>
        <w:rPr>
          <w:rFonts w:ascii="Arial" w:hAnsi="Arial"/>
          <w:sz w:val="20"/>
          <w:szCs w:val="20"/>
        </w:rPr>
        <w:t>Deta</w:t>
      </w:r>
      <w:r w:rsidR="008A3E54">
        <w:rPr>
          <w:rFonts w:ascii="Arial" w:hAnsi="Arial"/>
          <w:sz w:val="20"/>
          <w:szCs w:val="20"/>
        </w:rPr>
        <w:t>illierte</w:t>
      </w:r>
      <w:r>
        <w:rPr>
          <w:rFonts w:ascii="Arial" w:hAnsi="Arial"/>
          <w:sz w:val="20"/>
          <w:szCs w:val="20"/>
        </w:rPr>
        <w:t xml:space="preserve"> Vorgaben zur Pulverbeschichtung finden Sie im Kapitel 4 “Wissenswertes” auf Seite 879.</w:t>
      </w:r>
    </w:p>
    <w:p w14:paraId="5AB28665" w14:textId="77777777" w:rsidR="00F619AC" w:rsidRDefault="00F619AC">
      <w:pPr>
        <w:rPr>
          <w:rFonts w:ascii="Arial" w:hAnsi="Arial"/>
          <w:sz w:val="20"/>
          <w:szCs w:val="20"/>
        </w:rPr>
      </w:pPr>
    </w:p>
    <w:p w14:paraId="0DDAA643" w14:textId="77777777" w:rsidR="00F619AC" w:rsidRDefault="0034178C">
      <w:pPr>
        <w:rPr>
          <w:rFonts w:ascii="Arial" w:hAnsi="Arial"/>
          <w:sz w:val="20"/>
          <w:szCs w:val="20"/>
        </w:rPr>
      </w:pPr>
      <w:r>
        <w:rPr>
          <w:rFonts w:ascii="Arial" w:hAnsi="Arial"/>
          <w:sz w:val="20"/>
          <w:szCs w:val="20"/>
        </w:rPr>
        <w:t>3</w:t>
      </w:r>
    </w:p>
    <w:p w14:paraId="18291C74" w14:textId="77777777" w:rsidR="00F619AC" w:rsidRDefault="0034178C">
      <w:pPr>
        <w:rPr>
          <w:rFonts w:ascii="Arial" w:hAnsi="Arial"/>
          <w:sz w:val="20"/>
          <w:szCs w:val="20"/>
        </w:rPr>
      </w:pPr>
      <w:r w:rsidRPr="00AC57C2">
        <w:rPr>
          <w:rFonts w:ascii="Arial" w:hAnsi="Arial"/>
          <w:b/>
          <w:bCs/>
          <w:sz w:val="20"/>
          <w:szCs w:val="20"/>
        </w:rPr>
        <w:t>Fahrradparker BETA-XXL:</w:t>
      </w:r>
      <w:r>
        <w:rPr>
          <w:rFonts w:ascii="Arial" w:hAnsi="Arial"/>
          <w:sz w:val="20"/>
          <w:szCs w:val="20"/>
        </w:rPr>
        <w:t xml:space="preserve"> Siehe </w:t>
      </w:r>
      <w:hyperlink r:id="rId6" w:history="1">
        <w:r>
          <w:rPr>
            <w:rFonts w:ascii="Arial" w:hAnsi="Arial"/>
            <w:sz w:val="20"/>
            <w:szCs w:val="20"/>
          </w:rPr>
          <w:t>http://www.orion-bausysteme.de/de/fahrradstaender-beta/beta-xxl</w:t>
        </w:r>
      </w:hyperlink>
    </w:p>
    <w:p w14:paraId="7C3545E2" w14:textId="77777777" w:rsidR="00F619AC" w:rsidRDefault="00F619AC">
      <w:pPr>
        <w:rPr>
          <w:rFonts w:ascii="Arial" w:hAnsi="Arial"/>
          <w:sz w:val="20"/>
          <w:szCs w:val="20"/>
        </w:rPr>
      </w:pPr>
    </w:p>
    <w:p w14:paraId="22C6F4B3" w14:textId="77777777" w:rsidR="00F619AC" w:rsidRDefault="0034178C">
      <w:pPr>
        <w:rPr>
          <w:rFonts w:ascii="Arial" w:hAnsi="Arial"/>
          <w:sz w:val="20"/>
          <w:szCs w:val="20"/>
        </w:rPr>
      </w:pPr>
      <w:r>
        <w:rPr>
          <w:rFonts w:ascii="Arial" w:hAnsi="Arial"/>
          <w:sz w:val="20"/>
          <w:szCs w:val="20"/>
        </w:rPr>
        <w:t>4</w:t>
      </w:r>
    </w:p>
    <w:p w14:paraId="45A64BC5" w14:textId="77777777" w:rsidR="00F619AC" w:rsidRDefault="0034178C">
      <w:pPr>
        <w:rPr>
          <w:rFonts w:ascii="Arial" w:hAnsi="Arial"/>
          <w:sz w:val="20"/>
          <w:szCs w:val="20"/>
        </w:rPr>
      </w:pPr>
      <w:r w:rsidRPr="00AC57C2">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17B5AF1E" w14:textId="77777777" w:rsidR="00F619AC" w:rsidRDefault="00F619AC">
      <w:pPr>
        <w:rPr>
          <w:rFonts w:ascii="Arial" w:hAnsi="Arial"/>
          <w:sz w:val="20"/>
          <w:szCs w:val="20"/>
        </w:rPr>
      </w:pPr>
    </w:p>
    <w:p w14:paraId="300BD09D" w14:textId="77777777" w:rsidR="00F619AC" w:rsidRDefault="0034178C">
      <w:pPr>
        <w:rPr>
          <w:rFonts w:ascii="Arial" w:hAnsi="Arial"/>
          <w:sz w:val="20"/>
          <w:szCs w:val="20"/>
        </w:rPr>
      </w:pPr>
      <w:r>
        <w:rPr>
          <w:rFonts w:ascii="Arial" w:hAnsi="Arial"/>
          <w:sz w:val="20"/>
          <w:szCs w:val="20"/>
        </w:rPr>
        <w:t>Fabrikat der Systemüberdachung incl. Zubehör wie in Pos. 1 - 4 beschrieben: ORION Bausysteme / ORION Stadtmöblierung.</w:t>
      </w:r>
    </w:p>
    <w:sectPr w:rsidR="00F619A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561C" w14:textId="77777777" w:rsidR="00307422" w:rsidRDefault="00307422">
      <w:r>
        <w:separator/>
      </w:r>
    </w:p>
  </w:endnote>
  <w:endnote w:type="continuationSeparator" w:id="0">
    <w:p w14:paraId="1B4EF309" w14:textId="77777777" w:rsidR="00307422" w:rsidRDefault="0030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EE5E" w14:textId="77777777" w:rsidR="00307422" w:rsidRDefault="00307422">
      <w:r>
        <w:rPr>
          <w:color w:val="000000"/>
        </w:rPr>
        <w:separator/>
      </w:r>
    </w:p>
  </w:footnote>
  <w:footnote w:type="continuationSeparator" w:id="0">
    <w:p w14:paraId="3FDA1CB1" w14:textId="77777777" w:rsidR="00307422" w:rsidRDefault="00307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619AC"/>
    <w:rsid w:val="00307422"/>
    <w:rsid w:val="0034178C"/>
    <w:rsid w:val="003662BF"/>
    <w:rsid w:val="00632A83"/>
    <w:rsid w:val="007646A3"/>
    <w:rsid w:val="008A3E54"/>
    <w:rsid w:val="009E3C59"/>
    <w:rsid w:val="00AC57C2"/>
    <w:rsid w:val="00CA2E4E"/>
    <w:rsid w:val="00D1461A"/>
    <w:rsid w:val="00F619AC"/>
    <w:rsid w:val="00F61C73"/>
    <w:rsid w:val="00FA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8B21"/>
  <w15:docId w15:val="{EE7896D6-6F1C-4127-AD1E-640A492A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de/fahrradstaender-beta/beta-xx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5128</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11</cp:revision>
  <dcterms:created xsi:type="dcterms:W3CDTF">2021-02-10T19:09:00Z</dcterms:created>
  <dcterms:modified xsi:type="dcterms:W3CDTF">2021-04-27T08:10:00Z</dcterms:modified>
</cp:coreProperties>
</file>